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37D" w:rsidRPr="00636C9C" w:rsidRDefault="002B537D" w:rsidP="002B537D">
      <w:pPr>
        <w:rPr>
          <w:rFonts w:ascii="Arial" w:hAnsi="Arial" w:cs="Arial"/>
          <w:b/>
          <w:bCs/>
          <w:sz w:val="18"/>
          <w:szCs w:val="18"/>
          <w:bdr w:val="none" w:sz="0" w:space="0" w:color="auto" w:frame="1"/>
        </w:rPr>
      </w:pPr>
      <w:r w:rsidRPr="00773B5B">
        <w:rPr>
          <w:b/>
          <w:sz w:val="28"/>
          <w:szCs w:val="28"/>
        </w:rPr>
        <w:t>TIP OF THE WEEK</w:t>
      </w:r>
      <w:r>
        <w:rPr>
          <w:b/>
          <w:sz w:val="28"/>
          <w:szCs w:val="28"/>
        </w:rPr>
        <w:t xml:space="preserve">   </w:t>
      </w:r>
      <w:r>
        <w:rPr>
          <w:rFonts w:ascii="Monotype Corsiva" w:hAnsi="Monotype Corsiva"/>
          <w:sz w:val="32"/>
          <w:szCs w:val="32"/>
        </w:rPr>
        <w:t xml:space="preserve">point L.I. </w:t>
      </w:r>
    </w:p>
    <w:p w:rsidR="002B537D" w:rsidRDefault="002B537D" w:rsidP="002B537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396C0C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396C0C"/>
          <w:sz w:val="20"/>
          <w:szCs w:val="20"/>
        </w:rPr>
        <w:t>L. I. 4 is a very strong point for pain, especially in the head or intestines. Often used for anesthesia and dental work.</w:t>
      </w:r>
    </w:p>
    <w:p w:rsidR="002B537D" w:rsidRPr="00503B25" w:rsidRDefault="002B537D" w:rsidP="002B537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503B25">
        <w:rPr>
          <w:rFonts w:ascii="Arial" w:eastAsia="Times New Roman" w:hAnsi="Arial" w:cs="Arial"/>
          <w:b/>
          <w:bCs/>
          <w:color w:val="396C0C"/>
          <w:sz w:val="20"/>
          <w:szCs w:val="20"/>
        </w:rPr>
        <w:t xml:space="preserve">Indications: 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 xml:space="preserve"> Head and face pain:  headache and </w:t>
      </w:r>
      <w:proofErr w:type="spellStart"/>
      <w:r w:rsidRPr="00503B25">
        <w:rPr>
          <w:rFonts w:ascii="Verdana" w:eastAsia="Times New Roman" w:hAnsi="Verdana" w:cs="Arial"/>
          <w:sz w:val="20"/>
          <w:szCs w:val="20"/>
        </w:rPr>
        <w:t>bodyache</w:t>
      </w:r>
      <w:proofErr w:type="spellEnd"/>
      <w:r w:rsidRPr="00503B25">
        <w:rPr>
          <w:rFonts w:ascii="Verdana" w:eastAsia="Times New Roman" w:hAnsi="Verdana" w:cs="Arial"/>
          <w:sz w:val="20"/>
          <w:szCs w:val="20"/>
        </w:rPr>
        <w:t xml:space="preserve">, dizziness, congestion, swelling and pain of the eye, </w:t>
      </w:r>
      <w:proofErr w:type="spellStart"/>
      <w:r w:rsidRPr="00503B25">
        <w:rPr>
          <w:rFonts w:ascii="Verdana" w:eastAsia="Times New Roman" w:hAnsi="Verdana" w:cs="Arial"/>
          <w:sz w:val="20"/>
          <w:szCs w:val="20"/>
        </w:rPr>
        <w:t>nasosinusitis</w:t>
      </w:r>
      <w:proofErr w:type="spellEnd"/>
      <w:r w:rsidRPr="00503B25">
        <w:rPr>
          <w:rFonts w:ascii="Verdana" w:eastAsia="Times New Roman" w:hAnsi="Verdana" w:cs="Arial"/>
          <w:sz w:val="20"/>
          <w:szCs w:val="20"/>
        </w:rPr>
        <w:t xml:space="preserve">, epistaxis (nosebleed), toothache in the lower jaw, </w:t>
      </w:r>
      <w:proofErr w:type="spellStart"/>
      <w:r w:rsidRPr="00503B25">
        <w:rPr>
          <w:rFonts w:ascii="Verdana" w:eastAsia="Times New Roman" w:hAnsi="Verdana" w:cs="Arial"/>
          <w:sz w:val="20"/>
          <w:szCs w:val="20"/>
        </w:rPr>
        <w:t>trismus</w:t>
      </w:r>
      <w:proofErr w:type="spellEnd"/>
      <w:r w:rsidRPr="00503B25">
        <w:rPr>
          <w:rFonts w:ascii="Verdana" w:eastAsia="Times New Roman" w:hAnsi="Verdana" w:cs="Arial"/>
          <w:sz w:val="20"/>
          <w:szCs w:val="20"/>
        </w:rPr>
        <w:t xml:space="preserve"> (lockjaw), deafness, mumps, swelling of the face, facial paralysis, facial tic, swelling of the </w:t>
      </w:r>
      <w:proofErr w:type="spellStart"/>
      <w:r w:rsidRPr="00503B25">
        <w:rPr>
          <w:rFonts w:ascii="Verdana" w:eastAsia="Times New Roman" w:hAnsi="Verdana" w:cs="Arial"/>
          <w:sz w:val="20"/>
          <w:szCs w:val="20"/>
        </w:rPr>
        <w:t>pharnyx</w:t>
      </w:r>
      <w:proofErr w:type="spellEnd"/>
      <w:r w:rsidRPr="00503B25">
        <w:rPr>
          <w:rFonts w:ascii="Verdana" w:eastAsia="Times New Roman" w:hAnsi="Verdana" w:cs="Arial"/>
          <w:sz w:val="20"/>
          <w:szCs w:val="20"/>
        </w:rPr>
        <w:t>.</w:t>
      </w:r>
      <w:r w:rsidRPr="00503B25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>Aversion to cold, fever, febrile disease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>Dysmenorrhea, amenorrhea, dystocia (difficult or abnormal labor/childbirth).</w:t>
      </w:r>
      <w:r w:rsidRPr="00503B25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>Gastric pain, lower abdominal pain, constipation, diarrhea, dysentery.</w:t>
      </w:r>
      <w:r w:rsidRPr="00503B25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>Hemiplegia, finger spasm, pain in</w:t>
      </w:r>
      <w:r>
        <w:rPr>
          <w:rFonts w:ascii="Verdana" w:eastAsia="Times New Roman" w:hAnsi="Verdana" w:cs="Arial"/>
          <w:sz w:val="20"/>
          <w:szCs w:val="20"/>
        </w:rPr>
        <w:t xml:space="preserve"> the arm, infantile convulsion.</w:t>
      </w:r>
      <w:r w:rsidRPr="00503B25">
        <w:rPr>
          <w:rFonts w:ascii="Verdana" w:eastAsia="Times New Roman" w:hAnsi="Verdana" w:cs="Tahoma"/>
          <w:sz w:val="20"/>
          <w:szCs w:val="20"/>
        </w:rPr>
        <w:t xml:space="preserve">  </w:t>
      </w:r>
    </w:p>
    <w:p w:rsidR="002B537D" w:rsidRPr="00503B25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ahoma"/>
          <w:sz w:val="20"/>
          <w:szCs w:val="20"/>
        </w:rPr>
      </w:pPr>
      <w:r w:rsidRPr="00503B25">
        <w:rPr>
          <w:rFonts w:ascii="Verdana" w:eastAsia="Times New Roman" w:hAnsi="Verdana" w:cs="Arial"/>
          <w:sz w:val="20"/>
          <w:szCs w:val="20"/>
        </w:rPr>
        <w:t xml:space="preserve">Every type </w:t>
      </w:r>
      <w:proofErr w:type="spellStart"/>
      <w:r w:rsidRPr="00503B25">
        <w:rPr>
          <w:rFonts w:ascii="Verdana" w:eastAsia="Times New Roman" w:hAnsi="Verdana" w:cs="Arial"/>
          <w:sz w:val="20"/>
          <w:szCs w:val="20"/>
        </w:rPr>
        <w:t>pf</w:t>
      </w:r>
      <w:proofErr w:type="spellEnd"/>
      <w:r w:rsidRPr="00503B25">
        <w:rPr>
          <w:rFonts w:ascii="Verdana" w:eastAsia="Times New Roman" w:hAnsi="Verdana" w:cs="Arial"/>
          <w:sz w:val="20"/>
          <w:szCs w:val="20"/>
        </w:rPr>
        <w:t xml:space="preserve"> pain and psychogenic tense.</w:t>
      </w:r>
      <w:r w:rsidRPr="00503B25">
        <w:rPr>
          <w:rFonts w:ascii="Verdana" w:eastAsia="Times New Roman" w:hAnsi="Verdana" w:cs="Tahoma"/>
          <w:sz w:val="20"/>
          <w:szCs w:val="20"/>
        </w:rPr>
        <w:t xml:space="preserve"> </w:t>
      </w:r>
    </w:p>
    <w:p w:rsidR="002B537D" w:rsidRPr="00636C9C" w:rsidRDefault="002B537D" w:rsidP="002B537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hAnsi="Verdana" w:cs="Arial"/>
          <w:i/>
          <w:iCs/>
          <w:sz w:val="20"/>
          <w:szCs w:val="20"/>
          <w:bdr w:val="none" w:sz="0" w:space="0" w:color="auto" w:frame="1"/>
        </w:rPr>
      </w:pPr>
      <w:r w:rsidRPr="00503B25">
        <w:rPr>
          <w:rFonts w:ascii="Verdana" w:eastAsia="Times New Roman" w:hAnsi="Verdana" w:cs="Arial"/>
          <w:sz w:val="20"/>
          <w:szCs w:val="20"/>
        </w:rPr>
        <w:t xml:space="preserve">Use in conjunction with LIV </w:t>
      </w:r>
      <w:r w:rsidRPr="00636C9C">
        <w:rPr>
          <w:rFonts w:ascii="Verdana" w:eastAsia="Times New Roman" w:hAnsi="Verdana" w:cs="Arial"/>
          <w:sz w:val="20"/>
          <w:szCs w:val="20"/>
        </w:rPr>
        <w:t>3 (the Four Gates)</w:t>
      </w:r>
      <w:r w:rsidRPr="00503B25">
        <w:rPr>
          <w:rFonts w:ascii="Verdana" w:eastAsia="Times New Roman" w:hAnsi="Verdana" w:cs="Arial"/>
          <w:sz w:val="20"/>
          <w:szCs w:val="20"/>
        </w:rPr>
        <w:t xml:space="preserve"> i</w:t>
      </w:r>
      <w:r w:rsidRPr="00636C9C">
        <w:rPr>
          <w:rFonts w:ascii="Verdana" w:eastAsia="Times New Roman" w:hAnsi="Verdana" w:cs="Arial"/>
          <w:sz w:val="20"/>
          <w:szCs w:val="20"/>
        </w:rPr>
        <w:t xml:space="preserve">n order </w:t>
      </w:r>
      <w:proofErr w:type="gramStart"/>
      <w:r w:rsidRPr="00636C9C">
        <w:rPr>
          <w:rFonts w:ascii="Verdana" w:eastAsia="Times New Roman" w:hAnsi="Verdana" w:cs="Arial"/>
          <w:sz w:val="20"/>
          <w:szCs w:val="20"/>
        </w:rPr>
        <w:t xml:space="preserve">to </w:t>
      </w:r>
      <w:r w:rsidRPr="00503B25">
        <w:rPr>
          <w:rFonts w:ascii="Verdana" w:eastAsia="Times New Roman" w:hAnsi="Verdana" w:cs="Arial"/>
          <w:sz w:val="20"/>
          <w:szCs w:val="20"/>
        </w:rPr>
        <w:t xml:space="preserve"> alleviate</w:t>
      </w:r>
      <w:proofErr w:type="gramEnd"/>
      <w:r w:rsidRPr="00503B25">
        <w:rPr>
          <w:rFonts w:ascii="Verdana" w:eastAsia="Times New Roman" w:hAnsi="Verdana" w:cs="Arial"/>
          <w:sz w:val="20"/>
          <w:szCs w:val="20"/>
        </w:rPr>
        <w:t xml:space="preserve"> pain. </w:t>
      </w:r>
    </w:p>
    <w:tbl>
      <w:tblPr>
        <w:tblW w:w="5060" w:type="pct"/>
        <w:tblCellSpacing w:w="0" w:type="dxa"/>
        <w:tblInd w:w="23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9897"/>
      </w:tblGrid>
      <w:tr w:rsidR="002B537D" w:rsidRPr="00503B25" w:rsidTr="00652C20">
        <w:trPr>
          <w:trHeight w:val="435"/>
          <w:tblCellSpacing w:w="0" w:type="dxa"/>
        </w:trPr>
        <w:tc>
          <w:tcPr>
            <w:tcW w:w="5000" w:type="pct"/>
            <w:tcMar>
              <w:top w:w="75" w:type="dxa"/>
              <w:left w:w="345" w:type="dxa"/>
              <w:bottom w:w="75" w:type="dxa"/>
              <w:right w:w="75" w:type="dxa"/>
            </w:tcMar>
            <w:vAlign w:val="center"/>
          </w:tcPr>
          <w:p w:rsidR="002B537D" w:rsidRPr="00503B25" w:rsidRDefault="002B537D" w:rsidP="00652C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636C9C">
              <w:rPr>
                <w:rFonts w:ascii="Verdana" w:hAnsi="Verdana" w:cs="Arial"/>
                <w:i/>
                <w:iCs/>
                <w:sz w:val="20"/>
                <w:szCs w:val="20"/>
                <w:bdr w:val="none" w:sz="0" w:space="0" w:color="auto" w:frame="1"/>
              </w:rPr>
              <w:t>Push on the point with a finger, closed pen or narrow blunt object for up to 3 minutes.</w:t>
            </w:r>
          </w:p>
        </w:tc>
      </w:tr>
      <w:tr w:rsidR="002B537D" w:rsidRPr="00503B25" w:rsidTr="00652C20">
        <w:trPr>
          <w:tblCellSpacing w:w="0" w:type="dxa"/>
        </w:trPr>
        <w:tc>
          <w:tcPr>
            <w:tcW w:w="5000" w:type="pct"/>
            <w:vAlign w:val="center"/>
          </w:tcPr>
          <w:p w:rsidR="002B537D" w:rsidRPr="00503B25" w:rsidRDefault="002B537D" w:rsidP="00652C2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noProof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1905000" cy="1495425"/>
                  <wp:effectExtent l="0" t="0" r="0" b="9525"/>
                  <wp:wrapSquare wrapText="bothSides"/>
                  <wp:docPr id="1" name="Picture 1" descr="http://www.acupuncture.com/images/li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acupuncture.com/images/li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B537D" w:rsidRPr="004F31F9" w:rsidRDefault="002B537D" w:rsidP="00652C20">
            <w:pPr>
              <w:tabs>
                <w:tab w:val="left" w:pos="7125"/>
              </w:tabs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503B25">
              <w:rPr>
                <w:rFonts w:ascii="Verdana" w:eastAsia="Times New Roman" w:hAnsi="Verdana" w:cs="Arial"/>
                <w:b/>
                <w:bCs/>
                <w:color w:val="396C0C"/>
                <w:sz w:val="20"/>
                <w:szCs w:val="20"/>
              </w:rPr>
              <w:t xml:space="preserve">Location: </w:t>
            </w:r>
            <w:r w:rsidRPr="00503B25">
              <w:rPr>
                <w:rFonts w:ascii="Verdana" w:eastAsia="Times New Roman" w:hAnsi="Verdana" w:cs="Arial"/>
                <w:sz w:val="20"/>
                <w:szCs w:val="20"/>
              </w:rPr>
              <w:t xml:space="preserve"> On the dorsum of the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                                    </w:t>
            </w:r>
            <w:r w:rsidRPr="00503B25">
              <w:rPr>
                <w:rFonts w:ascii="Verdana" w:eastAsia="Times New Roman" w:hAnsi="Verdana" w:cs="Arial"/>
                <w:sz w:val="20"/>
                <w:szCs w:val="20"/>
              </w:rPr>
              <w:t xml:space="preserve">hand, between the 1st and 2nd 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 xml:space="preserve">      </w:t>
            </w:r>
            <w:r w:rsidRPr="00503B25">
              <w:rPr>
                <w:rFonts w:ascii="Verdana" w:eastAsia="Times New Roman" w:hAnsi="Verdana" w:cs="Arial"/>
                <w:sz w:val="20"/>
                <w:szCs w:val="20"/>
              </w:rPr>
              <w:t>metacarpal bones, in the middle of the 2nd metacarpal bone on the radial side.</w:t>
            </w:r>
            <w:r w:rsidRPr="00636C9C">
              <w:rPr>
                <w:rFonts w:ascii="Verdana" w:eastAsia="Times New Roman" w:hAnsi="Verdana" w:cs="Arial"/>
                <w:sz w:val="20"/>
                <w:szCs w:val="20"/>
              </w:rPr>
              <w:t xml:space="preserve"> Squeeze your thumb against your pointer finger, and it is at the top of the fleshy part.</w:t>
            </w:r>
          </w:p>
          <w:p w:rsidR="002B537D" w:rsidRPr="00503B25" w:rsidRDefault="002B537D" w:rsidP="00652C2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03B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896839" w:rsidRDefault="00896839">
      <w:bookmarkStart w:id="0" w:name="_GoBack"/>
      <w:bookmarkEnd w:id="0"/>
    </w:p>
    <w:sectPr w:rsidR="00896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C16D0"/>
    <w:multiLevelType w:val="multilevel"/>
    <w:tmpl w:val="D014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7D"/>
    <w:rsid w:val="002B537D"/>
    <w:rsid w:val="0089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37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Company>Hibu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McIntosh, Jennifer (YBUSA-MAD)</dc:creator>
  <cp:lastModifiedBy>McIntosh, Jennifer (YBUSA-MAD)</cp:lastModifiedBy>
  <cp:revision>1</cp:revision>
  <dcterms:created xsi:type="dcterms:W3CDTF">2014-10-08T16:07:00Z</dcterms:created>
  <dcterms:modified xsi:type="dcterms:W3CDTF">2014-10-08T16:08:00Z</dcterms:modified>
</cp:coreProperties>
</file>